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B4974" w14:textId="6CAE9804" w:rsidR="00FD3C79" w:rsidRPr="00FD3C79" w:rsidRDefault="00ED467B" w:rsidP="00FD3C79">
      <w:pPr>
        <w:jc w:val="center"/>
        <w:rPr>
          <w:rFonts w:ascii="Arial" w:hAnsi="Arial" w:cs="Arial"/>
          <w:b/>
          <w:bCs/>
          <w:sz w:val="24"/>
          <w:szCs w:val="24"/>
        </w:rPr>
      </w:pPr>
      <w:r w:rsidRPr="00DF528B">
        <w:rPr>
          <w:b/>
          <w:bCs/>
          <w:noProof/>
        </w:rPr>
        <w:drawing>
          <wp:anchor distT="0" distB="0" distL="114300" distR="114300" simplePos="0" relativeHeight="251659264" behindDoc="1" locked="0" layoutInCell="1" allowOverlap="1" wp14:anchorId="010AB8B5" wp14:editId="63C63CB1">
            <wp:simplePos x="0" y="0"/>
            <wp:positionH relativeFrom="margin">
              <wp:posOffset>3486150</wp:posOffset>
            </wp:positionH>
            <wp:positionV relativeFrom="topMargin">
              <wp:align>bottom</wp:align>
            </wp:positionV>
            <wp:extent cx="1257300" cy="655320"/>
            <wp:effectExtent l="0" t="0" r="0" b="0"/>
            <wp:wrapNone/>
            <wp:docPr id="76" name="Picture 76"/>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7300" cy="6553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2960" w:type="dxa"/>
        <w:tblLayout w:type="fixed"/>
        <w:tblLook w:val="06A0" w:firstRow="1" w:lastRow="0" w:firstColumn="1" w:lastColumn="0" w:noHBand="1" w:noVBand="1"/>
      </w:tblPr>
      <w:tblGrid>
        <w:gridCol w:w="3325"/>
        <w:gridCol w:w="9635"/>
      </w:tblGrid>
      <w:tr w:rsidR="0093582E" w14:paraId="1A325101" w14:textId="77777777" w:rsidTr="00AD32D1">
        <w:tc>
          <w:tcPr>
            <w:tcW w:w="3325" w:type="dxa"/>
            <w:shd w:val="clear" w:color="auto" w:fill="B4C6E7" w:themeFill="accent1" w:themeFillTint="66"/>
          </w:tcPr>
          <w:p w14:paraId="26C200FA" w14:textId="389E4473" w:rsidR="0093582E" w:rsidRDefault="0093582E" w:rsidP="00AD32D1">
            <w:pPr>
              <w:jc w:val="center"/>
              <w:rPr>
                <w:rFonts w:ascii="Calibri" w:eastAsia="Calibri" w:hAnsi="Calibri" w:cs="Calibri"/>
                <w:sz w:val="28"/>
                <w:szCs w:val="28"/>
              </w:rPr>
            </w:pPr>
            <w:r w:rsidRPr="74BADBA9">
              <w:rPr>
                <w:rFonts w:ascii="Calibri" w:eastAsia="Calibri" w:hAnsi="Calibri" w:cs="Calibri"/>
                <w:b/>
                <w:bCs/>
                <w:sz w:val="28"/>
                <w:szCs w:val="28"/>
              </w:rPr>
              <w:t xml:space="preserve">Community/ Population Health </w:t>
            </w:r>
            <w:r>
              <w:rPr>
                <w:rFonts w:ascii="Calibri" w:eastAsia="Calibri" w:hAnsi="Calibri" w:cs="Calibri"/>
                <w:b/>
                <w:bCs/>
                <w:sz w:val="28"/>
                <w:szCs w:val="28"/>
              </w:rPr>
              <w:t>Domain</w:t>
            </w:r>
          </w:p>
        </w:tc>
        <w:tc>
          <w:tcPr>
            <w:tcW w:w="9635" w:type="dxa"/>
            <w:shd w:val="clear" w:color="auto" w:fill="B4C6E7" w:themeFill="accent1" w:themeFillTint="66"/>
          </w:tcPr>
          <w:p w14:paraId="7BAC4079" w14:textId="691CD178" w:rsidR="0093582E" w:rsidRDefault="0093582E" w:rsidP="00AD32D1">
            <w:pPr>
              <w:jc w:val="center"/>
              <w:rPr>
                <w:rFonts w:ascii="Calibri" w:eastAsia="Calibri" w:hAnsi="Calibri" w:cs="Calibri"/>
                <w:sz w:val="28"/>
                <w:szCs w:val="28"/>
              </w:rPr>
            </w:pPr>
            <w:r w:rsidRPr="74BADBA9">
              <w:rPr>
                <w:rFonts w:ascii="Calibri" w:eastAsia="Calibri" w:hAnsi="Calibri" w:cs="Calibri"/>
                <w:b/>
                <w:bCs/>
                <w:sz w:val="28"/>
                <w:szCs w:val="28"/>
              </w:rPr>
              <w:t xml:space="preserve">Description of </w:t>
            </w:r>
            <w:r>
              <w:rPr>
                <w:rFonts w:ascii="Calibri" w:eastAsia="Calibri" w:hAnsi="Calibri" w:cs="Calibri"/>
                <w:b/>
                <w:bCs/>
                <w:sz w:val="28"/>
                <w:szCs w:val="28"/>
              </w:rPr>
              <w:t>Domain</w:t>
            </w:r>
          </w:p>
        </w:tc>
      </w:tr>
      <w:tr w:rsidR="0093582E" w14:paraId="134CEA27" w14:textId="77777777" w:rsidTr="00AD32D1">
        <w:tc>
          <w:tcPr>
            <w:tcW w:w="3325" w:type="dxa"/>
          </w:tcPr>
          <w:p w14:paraId="175A4E56" w14:textId="77777777" w:rsidR="0093582E" w:rsidRDefault="0093582E" w:rsidP="00AD32D1">
            <w:pPr>
              <w:rPr>
                <w:rFonts w:ascii="Calibri" w:eastAsia="Calibri" w:hAnsi="Calibri" w:cs="Calibri"/>
              </w:rPr>
            </w:pPr>
            <w:r w:rsidRPr="74BADBA9">
              <w:rPr>
                <w:rFonts w:ascii="Calibri" w:eastAsia="Calibri" w:hAnsi="Calibri" w:cs="Calibri"/>
              </w:rPr>
              <w:t xml:space="preserve">Community Assessment </w:t>
            </w:r>
          </w:p>
          <w:p w14:paraId="7E7BEAD7" w14:textId="77777777" w:rsidR="0093582E" w:rsidRDefault="0093582E" w:rsidP="00AD32D1">
            <w:pPr>
              <w:rPr>
                <w:rFonts w:ascii="Calibri" w:eastAsia="Calibri" w:hAnsi="Calibri" w:cs="Calibri"/>
              </w:rPr>
            </w:pPr>
          </w:p>
        </w:tc>
        <w:tc>
          <w:tcPr>
            <w:tcW w:w="9635" w:type="dxa"/>
          </w:tcPr>
          <w:p w14:paraId="72ED43BF" w14:textId="4933ECB2" w:rsidR="0093582E" w:rsidRDefault="0093582E" w:rsidP="00AD32D1">
            <w:pPr>
              <w:rPr>
                <w:rFonts w:ascii="Calibri" w:eastAsia="Calibri" w:hAnsi="Calibri" w:cs="Calibri"/>
              </w:rPr>
            </w:pPr>
            <w:r w:rsidRPr="74BADBA9">
              <w:rPr>
                <w:rFonts w:ascii="Calibri" w:eastAsia="Calibri" w:hAnsi="Calibri" w:cs="Calibri"/>
              </w:rPr>
              <w:t xml:space="preserve">A community assessment is the process of identifying the strengths, assets, needs and challenges of the community. A windshield survey is part of the community assessment. A windshield survey is the equivalent of a community head-to-toe assessment and yields a basic description about the community, its health, members, and resources.  </w:t>
            </w:r>
            <w:r w:rsidR="005E2C0D">
              <w:rPr>
                <w:rFonts w:ascii="Calibri" w:eastAsia="Calibri" w:hAnsi="Calibri" w:cs="Calibri"/>
              </w:rPr>
              <w:t>Shoe-leather surveys collect data while walking through the community.</w:t>
            </w:r>
          </w:p>
        </w:tc>
      </w:tr>
      <w:tr w:rsidR="0093582E" w14:paraId="74936CC7" w14:textId="77777777" w:rsidTr="00AD32D1">
        <w:tc>
          <w:tcPr>
            <w:tcW w:w="3325" w:type="dxa"/>
          </w:tcPr>
          <w:p w14:paraId="08BFA613" w14:textId="36949EB5" w:rsidR="0093582E" w:rsidRDefault="0093582E" w:rsidP="00AD32D1">
            <w:pPr>
              <w:rPr>
                <w:rFonts w:ascii="Calibri" w:eastAsia="Calibri" w:hAnsi="Calibri" w:cs="Calibri"/>
              </w:rPr>
            </w:pPr>
            <w:r w:rsidRPr="74BADBA9">
              <w:rPr>
                <w:rFonts w:ascii="Calibri" w:eastAsia="Calibri" w:hAnsi="Calibri" w:cs="Calibri"/>
              </w:rPr>
              <w:t>Culture/Beliefs/Spirituality</w:t>
            </w:r>
          </w:p>
        </w:tc>
        <w:tc>
          <w:tcPr>
            <w:tcW w:w="9635" w:type="dxa"/>
          </w:tcPr>
          <w:p w14:paraId="3B52DA74" w14:textId="577C0240" w:rsidR="0093582E" w:rsidRDefault="0093582E" w:rsidP="00AD32D1">
            <w:pPr>
              <w:rPr>
                <w:rFonts w:ascii="Calibri" w:eastAsia="Calibri" w:hAnsi="Calibri" w:cs="Calibri"/>
              </w:rPr>
            </w:pPr>
            <w:r w:rsidRPr="74BADBA9">
              <w:rPr>
                <w:rFonts w:ascii="Calibri" w:eastAsia="Calibri" w:hAnsi="Calibri" w:cs="Calibri"/>
              </w:rPr>
              <w:t>Culture is the characteristics and knowledge of a</w:t>
            </w:r>
            <w:r w:rsidR="00942CE1">
              <w:rPr>
                <w:rFonts w:ascii="Calibri" w:eastAsia="Calibri" w:hAnsi="Calibri" w:cs="Calibri"/>
              </w:rPr>
              <w:t xml:space="preserve">n </w:t>
            </w:r>
            <w:r w:rsidRPr="74BADBA9">
              <w:rPr>
                <w:rFonts w:ascii="Calibri" w:eastAsia="Calibri" w:hAnsi="Calibri" w:cs="Calibri"/>
              </w:rPr>
              <w:t>aggregate. Culture, beliefs</w:t>
            </w:r>
            <w:r w:rsidR="00942CE1">
              <w:rPr>
                <w:rFonts w:ascii="Calibri" w:eastAsia="Calibri" w:hAnsi="Calibri" w:cs="Calibri"/>
              </w:rPr>
              <w:t>,</w:t>
            </w:r>
            <w:r w:rsidRPr="74BADBA9">
              <w:rPr>
                <w:rFonts w:ascii="Calibri" w:eastAsia="Calibri" w:hAnsi="Calibri" w:cs="Calibri"/>
              </w:rPr>
              <w:t xml:space="preserve"> and spirituality are intrinsic values that provide important social and economic benefits. Understanding and incorporating culture, beliefs, and spirituality improve learning and health, enhances quality of life</w:t>
            </w:r>
            <w:r w:rsidR="00942CE1">
              <w:rPr>
                <w:rFonts w:ascii="Calibri" w:eastAsia="Calibri" w:hAnsi="Calibri" w:cs="Calibri"/>
              </w:rPr>
              <w:t>,</w:t>
            </w:r>
            <w:r w:rsidRPr="74BADBA9">
              <w:rPr>
                <w:rFonts w:ascii="Calibri" w:eastAsia="Calibri" w:hAnsi="Calibri" w:cs="Calibri"/>
              </w:rPr>
              <w:t xml:space="preserve"> and increases overall well-being for both individuals and communities.</w:t>
            </w:r>
          </w:p>
        </w:tc>
      </w:tr>
      <w:tr w:rsidR="0093582E" w14:paraId="5AF17069" w14:textId="77777777" w:rsidTr="00AD32D1">
        <w:tc>
          <w:tcPr>
            <w:tcW w:w="3325" w:type="dxa"/>
          </w:tcPr>
          <w:p w14:paraId="56C109EC" w14:textId="77777777" w:rsidR="0093582E" w:rsidRDefault="0093582E" w:rsidP="00AD32D1">
            <w:pPr>
              <w:rPr>
                <w:rFonts w:ascii="Calibri" w:eastAsia="Calibri" w:hAnsi="Calibri" w:cs="Calibri"/>
              </w:rPr>
            </w:pPr>
            <w:r w:rsidRPr="74BADBA9">
              <w:rPr>
                <w:rFonts w:ascii="Calibri" w:eastAsia="Calibri" w:hAnsi="Calibri" w:cs="Calibri"/>
              </w:rPr>
              <w:t>Disease/Illness Prevention</w:t>
            </w:r>
          </w:p>
        </w:tc>
        <w:tc>
          <w:tcPr>
            <w:tcW w:w="9635" w:type="dxa"/>
          </w:tcPr>
          <w:p w14:paraId="46A697D9" w14:textId="680C3ED4" w:rsidR="0093582E" w:rsidRDefault="0093582E" w:rsidP="00AD32D1">
            <w:pPr>
              <w:rPr>
                <w:rFonts w:ascii="Calibri" w:eastAsia="Calibri" w:hAnsi="Calibri" w:cs="Calibri"/>
              </w:rPr>
            </w:pPr>
            <w:r w:rsidRPr="74BADBA9">
              <w:rPr>
                <w:rFonts w:ascii="Calibri" w:eastAsia="Calibri" w:hAnsi="Calibri" w:cs="Calibri"/>
              </w:rPr>
              <w:t xml:space="preserve">Disease prevention focuses on specific efforts aimed at reducing the development and severity of chronic disease and other morbidities. There are three levels of preventive measures in disease /illness prevention-primary, secondary, and tertiary. </w:t>
            </w:r>
          </w:p>
          <w:p w14:paraId="001C3601" w14:textId="77777777" w:rsidR="0093582E" w:rsidRDefault="0093582E" w:rsidP="00AD32D1">
            <w:pPr>
              <w:rPr>
                <w:rFonts w:ascii="Calibri" w:eastAsia="Calibri" w:hAnsi="Calibri" w:cs="Calibri"/>
              </w:rPr>
            </w:pPr>
            <w:r w:rsidRPr="74BADBA9">
              <w:rPr>
                <w:rFonts w:ascii="Calibri" w:eastAsia="Calibri" w:hAnsi="Calibri" w:cs="Calibri"/>
              </w:rPr>
              <w:t>Primary prevention is the promotion of health and the prevention of a disease (clean water, immunizations, smoke free environment, education, personal hygiene).</w:t>
            </w:r>
          </w:p>
          <w:p w14:paraId="5550737E" w14:textId="77777777" w:rsidR="0093582E" w:rsidRDefault="0093582E" w:rsidP="00AD32D1">
            <w:pPr>
              <w:rPr>
                <w:rFonts w:ascii="Calibri" w:eastAsia="Calibri" w:hAnsi="Calibri" w:cs="Calibri"/>
              </w:rPr>
            </w:pPr>
            <w:r w:rsidRPr="74BADBA9">
              <w:rPr>
                <w:rFonts w:ascii="Calibri" w:eastAsia="Calibri" w:hAnsi="Calibri" w:cs="Calibri"/>
              </w:rPr>
              <w:t>Secondary prevention is detection and early treatment of disease (health screenings).</w:t>
            </w:r>
          </w:p>
          <w:p w14:paraId="0A6B8C49" w14:textId="77777777" w:rsidR="0093582E" w:rsidRDefault="0093582E" w:rsidP="00AD32D1">
            <w:pPr>
              <w:rPr>
                <w:rFonts w:ascii="Calibri" w:eastAsia="Calibri" w:hAnsi="Calibri" w:cs="Calibri"/>
              </w:rPr>
            </w:pPr>
            <w:r w:rsidRPr="74BADBA9">
              <w:rPr>
                <w:rFonts w:ascii="Calibri" w:eastAsia="Calibri" w:hAnsi="Calibri" w:cs="Calibri"/>
              </w:rPr>
              <w:t xml:space="preserve">Tertiary prevention aims to retrain, re-educate, and rehabilitate (therapy or treatment for disease processes, addiction, and disability).  </w:t>
            </w:r>
          </w:p>
        </w:tc>
      </w:tr>
      <w:tr w:rsidR="0093582E" w14:paraId="0E0FC97C" w14:textId="77777777" w:rsidTr="00AD32D1">
        <w:tc>
          <w:tcPr>
            <w:tcW w:w="3325" w:type="dxa"/>
          </w:tcPr>
          <w:p w14:paraId="7B724634" w14:textId="77777777" w:rsidR="0093582E" w:rsidRDefault="0093582E" w:rsidP="00AD32D1">
            <w:pPr>
              <w:rPr>
                <w:rFonts w:ascii="Calibri" w:eastAsia="Calibri" w:hAnsi="Calibri" w:cs="Calibri"/>
              </w:rPr>
            </w:pPr>
            <w:r w:rsidRPr="74BADBA9">
              <w:rPr>
                <w:rFonts w:ascii="Calibri" w:eastAsia="Calibri" w:hAnsi="Calibri" w:cs="Calibri"/>
              </w:rPr>
              <w:t xml:space="preserve">Education/Counseling  </w:t>
            </w:r>
          </w:p>
        </w:tc>
        <w:tc>
          <w:tcPr>
            <w:tcW w:w="9635" w:type="dxa"/>
          </w:tcPr>
          <w:p w14:paraId="69FC45D4" w14:textId="38D346DF" w:rsidR="0093582E" w:rsidRDefault="0093582E" w:rsidP="00AD32D1">
            <w:pPr>
              <w:rPr>
                <w:rFonts w:ascii="Calibri" w:eastAsia="Calibri" w:hAnsi="Calibri" w:cs="Calibri"/>
              </w:rPr>
            </w:pPr>
            <w:r w:rsidRPr="74BADBA9">
              <w:rPr>
                <w:rFonts w:ascii="Calibri" w:eastAsia="Calibri" w:hAnsi="Calibri" w:cs="Calibri"/>
              </w:rPr>
              <w:t>Education/counseling includes health education and counseling of individual, family, and communities with a purpose of changing health directed behavior to reduce injury or consequence</w:t>
            </w:r>
            <w:r w:rsidR="005E2C0D">
              <w:rPr>
                <w:rFonts w:ascii="Calibri" w:eastAsia="Calibri" w:hAnsi="Calibri" w:cs="Calibri"/>
              </w:rPr>
              <w:t>s</w:t>
            </w:r>
            <w:r w:rsidRPr="74BADBA9">
              <w:rPr>
                <w:rFonts w:ascii="Calibri" w:eastAsia="Calibri" w:hAnsi="Calibri" w:cs="Calibri"/>
              </w:rPr>
              <w:t>.</w:t>
            </w:r>
          </w:p>
        </w:tc>
      </w:tr>
      <w:tr w:rsidR="0093582E" w14:paraId="7B52E838" w14:textId="77777777" w:rsidTr="00AD32D1">
        <w:tc>
          <w:tcPr>
            <w:tcW w:w="3325" w:type="dxa"/>
          </w:tcPr>
          <w:p w14:paraId="0EB14A01" w14:textId="77777777" w:rsidR="0093582E" w:rsidRDefault="0093582E" w:rsidP="00AD32D1">
            <w:pPr>
              <w:rPr>
                <w:rFonts w:ascii="Calibri" w:eastAsia="Calibri" w:hAnsi="Calibri" w:cs="Calibri"/>
              </w:rPr>
            </w:pPr>
            <w:r w:rsidRPr="74BADBA9">
              <w:rPr>
                <w:rFonts w:ascii="Calibri" w:eastAsia="Calibri" w:hAnsi="Calibri" w:cs="Calibri"/>
              </w:rPr>
              <w:lastRenderedPageBreak/>
              <w:t>Health Promotion</w:t>
            </w:r>
          </w:p>
        </w:tc>
        <w:tc>
          <w:tcPr>
            <w:tcW w:w="9635" w:type="dxa"/>
          </w:tcPr>
          <w:p w14:paraId="4270C56E" w14:textId="5EA016B2" w:rsidR="0093582E" w:rsidRDefault="0093582E" w:rsidP="00AD32D1">
            <w:pPr>
              <w:rPr>
                <w:rFonts w:ascii="Calibri" w:eastAsia="Calibri" w:hAnsi="Calibri" w:cs="Calibri"/>
              </w:rPr>
            </w:pPr>
            <w:r w:rsidRPr="74BADBA9">
              <w:rPr>
                <w:rFonts w:ascii="Calibri" w:eastAsia="Calibri" w:hAnsi="Calibri" w:cs="Calibri"/>
              </w:rPr>
              <w:t>Health promotion is the process of enabling people to increase control over, and to improve, their health. Health promotion enables individuals, family</w:t>
            </w:r>
            <w:r w:rsidR="00942CE1">
              <w:rPr>
                <w:rFonts w:ascii="Calibri" w:eastAsia="Calibri" w:hAnsi="Calibri" w:cs="Calibri"/>
              </w:rPr>
              <w:t>,</w:t>
            </w:r>
            <w:r w:rsidRPr="74BADBA9">
              <w:rPr>
                <w:rFonts w:ascii="Calibri" w:eastAsia="Calibri" w:hAnsi="Calibri" w:cs="Calibri"/>
              </w:rPr>
              <w:t xml:space="preserve"> and communities to act positively in their environment by creating conditions that encourage and nurture health.</w:t>
            </w:r>
          </w:p>
        </w:tc>
      </w:tr>
      <w:tr w:rsidR="0093582E" w14:paraId="18BFB954" w14:textId="77777777" w:rsidTr="00AD32D1">
        <w:tc>
          <w:tcPr>
            <w:tcW w:w="3325" w:type="dxa"/>
          </w:tcPr>
          <w:p w14:paraId="36A3B5B0" w14:textId="77777777" w:rsidR="0093582E" w:rsidRDefault="0093582E" w:rsidP="00AD32D1">
            <w:pPr>
              <w:rPr>
                <w:rFonts w:ascii="Calibri" w:eastAsia="Calibri" w:hAnsi="Calibri" w:cs="Calibri"/>
              </w:rPr>
            </w:pPr>
            <w:r w:rsidRPr="74BADBA9">
              <w:rPr>
                <w:rFonts w:ascii="Calibri" w:eastAsia="Calibri" w:hAnsi="Calibri" w:cs="Calibri"/>
              </w:rPr>
              <w:t>Resource Identification</w:t>
            </w:r>
          </w:p>
        </w:tc>
        <w:tc>
          <w:tcPr>
            <w:tcW w:w="9635" w:type="dxa"/>
          </w:tcPr>
          <w:p w14:paraId="417DF8D4" w14:textId="77777777" w:rsidR="0093582E" w:rsidRDefault="0093582E" w:rsidP="00AD32D1">
            <w:pPr>
              <w:rPr>
                <w:rFonts w:ascii="Calibri" w:eastAsia="Calibri" w:hAnsi="Calibri" w:cs="Calibri"/>
              </w:rPr>
            </w:pPr>
            <w:r w:rsidRPr="74BADBA9">
              <w:rPr>
                <w:rFonts w:ascii="Calibri" w:eastAsia="Calibri" w:hAnsi="Calibri" w:cs="Calibri"/>
              </w:rPr>
              <w:t xml:space="preserve">Resource identification </w:t>
            </w:r>
            <w:r>
              <w:rPr>
                <w:rFonts w:ascii="Calibri" w:eastAsia="Calibri" w:hAnsi="Calibri" w:cs="Calibri"/>
              </w:rPr>
              <w:t>reveal</w:t>
            </w:r>
            <w:r w:rsidRPr="74BADBA9">
              <w:rPr>
                <w:rFonts w:ascii="Calibri" w:eastAsia="Calibri" w:hAnsi="Calibri" w:cs="Calibri"/>
              </w:rPr>
              <w:t xml:space="preserve"> possible solutions to help solve problems with/for individual and families within and outside of the community. Identification of resources include human (services/expertise) and non-human (funding/facilities/supplies/equipment) resources</w:t>
            </w:r>
          </w:p>
        </w:tc>
      </w:tr>
      <w:tr w:rsidR="0093582E" w14:paraId="001E3C93" w14:textId="77777777" w:rsidTr="00AD32D1">
        <w:tc>
          <w:tcPr>
            <w:tcW w:w="3325" w:type="dxa"/>
          </w:tcPr>
          <w:p w14:paraId="0E359CF7" w14:textId="77777777" w:rsidR="0093582E" w:rsidRDefault="0093582E" w:rsidP="00AD32D1">
            <w:pPr>
              <w:rPr>
                <w:rFonts w:ascii="Calibri" w:eastAsia="Calibri" w:hAnsi="Calibri" w:cs="Calibri"/>
              </w:rPr>
            </w:pPr>
            <w:r w:rsidRPr="74BADBA9">
              <w:rPr>
                <w:rFonts w:ascii="Calibri" w:eastAsia="Calibri" w:hAnsi="Calibri" w:cs="Calibri"/>
              </w:rPr>
              <w:t>Risk Reduction</w:t>
            </w:r>
          </w:p>
        </w:tc>
        <w:tc>
          <w:tcPr>
            <w:tcW w:w="9635" w:type="dxa"/>
          </w:tcPr>
          <w:p w14:paraId="39D37437" w14:textId="3E938660" w:rsidR="0093582E" w:rsidRDefault="0093582E" w:rsidP="00AD32D1">
            <w:pPr>
              <w:rPr>
                <w:rFonts w:ascii="Calibri" w:eastAsia="Calibri" w:hAnsi="Calibri" w:cs="Calibri"/>
              </w:rPr>
            </w:pPr>
            <w:r w:rsidRPr="74BADBA9">
              <w:rPr>
                <w:rFonts w:ascii="Calibri" w:eastAsia="Calibri" w:hAnsi="Calibri" w:cs="Calibri"/>
              </w:rPr>
              <w:t>Risk reduction facilitates behaviors that enable individuals, families</w:t>
            </w:r>
            <w:r w:rsidR="00942CE1">
              <w:rPr>
                <w:rFonts w:ascii="Calibri" w:eastAsia="Calibri" w:hAnsi="Calibri" w:cs="Calibri"/>
              </w:rPr>
              <w:t>,</w:t>
            </w:r>
            <w:r w:rsidRPr="74BADBA9">
              <w:rPr>
                <w:rFonts w:ascii="Calibri" w:eastAsia="Calibri" w:hAnsi="Calibri" w:cs="Calibri"/>
              </w:rPr>
              <w:t xml:space="preserve"> and communities to react to threats of health through early identification and avoidance of risks.</w:t>
            </w:r>
          </w:p>
        </w:tc>
      </w:tr>
      <w:tr w:rsidR="0093582E" w14:paraId="3C91A71E" w14:textId="77777777" w:rsidTr="00AD32D1">
        <w:tc>
          <w:tcPr>
            <w:tcW w:w="3325" w:type="dxa"/>
          </w:tcPr>
          <w:p w14:paraId="230677AB" w14:textId="77777777" w:rsidR="0093582E" w:rsidRDefault="0093582E" w:rsidP="00AD32D1">
            <w:pPr>
              <w:rPr>
                <w:rFonts w:ascii="Calibri" w:eastAsia="Calibri" w:hAnsi="Calibri" w:cs="Calibri"/>
              </w:rPr>
            </w:pPr>
            <w:r w:rsidRPr="74BADBA9">
              <w:rPr>
                <w:rFonts w:ascii="Calibri" w:eastAsia="Calibri" w:hAnsi="Calibri" w:cs="Calibri"/>
              </w:rPr>
              <w:t>Self-Management</w:t>
            </w:r>
          </w:p>
        </w:tc>
        <w:tc>
          <w:tcPr>
            <w:tcW w:w="9635" w:type="dxa"/>
          </w:tcPr>
          <w:p w14:paraId="4A29B1AA" w14:textId="3C96F74D" w:rsidR="0093582E" w:rsidRDefault="0093582E" w:rsidP="00AD32D1">
            <w:pPr>
              <w:rPr>
                <w:rFonts w:ascii="Calibri" w:eastAsia="Calibri" w:hAnsi="Calibri" w:cs="Calibri"/>
              </w:rPr>
            </w:pPr>
            <w:r w:rsidRPr="74BADBA9">
              <w:rPr>
                <w:rFonts w:ascii="Calibri" w:eastAsia="Calibri" w:hAnsi="Calibri" w:cs="Calibri"/>
              </w:rPr>
              <w:t>Self-management is the taking of responsibility for one's own behavior and well-being. Self-management includes managing the daily tasks to live well with one or more chronic conditions and having the skills and confidence to take charge of personal physical and emotional health, roles</w:t>
            </w:r>
            <w:r w:rsidR="00942CE1">
              <w:rPr>
                <w:rFonts w:ascii="Calibri" w:eastAsia="Calibri" w:hAnsi="Calibri" w:cs="Calibri"/>
              </w:rPr>
              <w:t>,</w:t>
            </w:r>
            <w:r w:rsidRPr="74BADBA9">
              <w:rPr>
                <w:rFonts w:ascii="Calibri" w:eastAsia="Calibri" w:hAnsi="Calibri" w:cs="Calibri"/>
              </w:rPr>
              <w:t xml:space="preserve"> and responsibilities. Self-management includes dietary and symptom management.</w:t>
            </w:r>
          </w:p>
        </w:tc>
      </w:tr>
      <w:tr w:rsidR="0093582E" w14:paraId="7387283A" w14:textId="77777777" w:rsidTr="00AD32D1">
        <w:tc>
          <w:tcPr>
            <w:tcW w:w="3325" w:type="dxa"/>
          </w:tcPr>
          <w:p w14:paraId="3AC4F401" w14:textId="77777777" w:rsidR="0093582E" w:rsidRDefault="0093582E" w:rsidP="00AD32D1">
            <w:pPr>
              <w:rPr>
                <w:rFonts w:ascii="Calibri" w:eastAsia="Calibri" w:hAnsi="Calibri" w:cs="Calibri"/>
              </w:rPr>
            </w:pPr>
            <w:r w:rsidRPr="74BADBA9">
              <w:rPr>
                <w:rFonts w:ascii="Calibri" w:eastAsia="Calibri" w:hAnsi="Calibri" w:cs="Calibri"/>
              </w:rPr>
              <w:t>Social Determinants of Health</w:t>
            </w:r>
          </w:p>
        </w:tc>
        <w:tc>
          <w:tcPr>
            <w:tcW w:w="9635" w:type="dxa"/>
          </w:tcPr>
          <w:p w14:paraId="30D1967E" w14:textId="1C52BC85" w:rsidR="0093582E" w:rsidRDefault="0093582E" w:rsidP="00AD32D1">
            <w:pPr>
              <w:rPr>
                <w:rFonts w:ascii="Calibri" w:eastAsia="Calibri" w:hAnsi="Calibri" w:cs="Calibri"/>
              </w:rPr>
            </w:pPr>
            <w:r w:rsidRPr="74BADBA9">
              <w:rPr>
                <w:rFonts w:ascii="Calibri" w:eastAsia="Calibri" w:hAnsi="Calibri" w:cs="Calibri"/>
              </w:rPr>
              <w:t>Social Determinants of Health identify ways to create social and physical environments that promote good health for all. Social determinants of health are conditions in the environment in which people are born, live, learn, work, play, worship, and age that affect a wide range of health, functioning, and quality-of-life outcomes and risks.</w:t>
            </w:r>
          </w:p>
        </w:tc>
      </w:tr>
      <w:tr w:rsidR="0093582E" w14:paraId="1818145E" w14:textId="77777777" w:rsidTr="00AD32D1">
        <w:tc>
          <w:tcPr>
            <w:tcW w:w="3325" w:type="dxa"/>
          </w:tcPr>
          <w:p w14:paraId="231F2BB6" w14:textId="77777777" w:rsidR="0093582E" w:rsidRDefault="0093582E" w:rsidP="00AD32D1">
            <w:pPr>
              <w:rPr>
                <w:rFonts w:ascii="Calibri" w:eastAsia="Calibri" w:hAnsi="Calibri" w:cs="Calibri"/>
              </w:rPr>
            </w:pPr>
            <w:r w:rsidRPr="74BADBA9">
              <w:rPr>
                <w:rFonts w:ascii="Calibri" w:eastAsia="Calibri" w:hAnsi="Calibri" w:cs="Calibri"/>
              </w:rPr>
              <w:t>Surveillance</w:t>
            </w:r>
          </w:p>
        </w:tc>
        <w:tc>
          <w:tcPr>
            <w:tcW w:w="9635" w:type="dxa"/>
          </w:tcPr>
          <w:p w14:paraId="7DDCBBA8" w14:textId="0B41844B" w:rsidR="0093582E" w:rsidRDefault="0093582E" w:rsidP="00AD32D1">
            <w:pPr>
              <w:rPr>
                <w:rFonts w:ascii="Calibri" w:eastAsia="Calibri" w:hAnsi="Calibri" w:cs="Calibri"/>
              </w:rPr>
            </w:pPr>
            <w:r w:rsidRPr="74BADBA9">
              <w:rPr>
                <w:rFonts w:ascii="Calibri" w:eastAsia="Calibri" w:hAnsi="Calibri" w:cs="Calibri"/>
              </w:rPr>
              <w:t>Surveillance is an ongoing process of monitoring, collecting data, and evaluating the impact of the health of individuals, families</w:t>
            </w:r>
            <w:r w:rsidR="00FB60B3">
              <w:rPr>
                <w:rFonts w:ascii="Calibri" w:eastAsia="Calibri" w:hAnsi="Calibri" w:cs="Calibri"/>
              </w:rPr>
              <w:t>,</w:t>
            </w:r>
            <w:r w:rsidRPr="74BADBA9">
              <w:rPr>
                <w:rFonts w:ascii="Calibri" w:eastAsia="Calibri" w:hAnsi="Calibri" w:cs="Calibri"/>
              </w:rPr>
              <w:t xml:space="preserve"> and communities. Effective surveillance and control lead to the elimination and eradication of disease.</w:t>
            </w:r>
          </w:p>
        </w:tc>
      </w:tr>
    </w:tbl>
    <w:p w14:paraId="4C3F97D4" w14:textId="71F252FE" w:rsidR="00AB78F2" w:rsidRDefault="00AB78F2" w:rsidP="009118BF">
      <w:pPr>
        <w:rPr>
          <w:rFonts w:ascii="Arial" w:hAnsi="Arial" w:cs="Arial"/>
        </w:rPr>
      </w:pPr>
    </w:p>
    <w:p w14:paraId="7866C15F" w14:textId="19155752" w:rsidR="009118BF" w:rsidRDefault="009118BF" w:rsidP="009118BF">
      <w:pPr>
        <w:rPr>
          <w:rFonts w:ascii="Arial" w:hAnsi="Arial" w:cs="Arial"/>
        </w:rPr>
      </w:pPr>
    </w:p>
    <w:p w14:paraId="62C3975D" w14:textId="0492BBEE" w:rsidR="009118BF" w:rsidRDefault="009118BF" w:rsidP="009118BF">
      <w:pPr>
        <w:rPr>
          <w:rFonts w:ascii="Arial" w:hAnsi="Arial" w:cs="Arial"/>
        </w:rPr>
      </w:pPr>
    </w:p>
    <w:p w14:paraId="0C405794" w14:textId="77777777" w:rsidR="009118BF" w:rsidRPr="009118BF" w:rsidRDefault="009118BF" w:rsidP="009118BF">
      <w:pPr>
        <w:rPr>
          <w:rFonts w:ascii="Arial" w:hAnsi="Arial" w:cs="Arial"/>
        </w:rPr>
      </w:pPr>
    </w:p>
    <w:sectPr w:rsidR="009118BF" w:rsidRPr="009118BF" w:rsidSect="0093582E">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C2D6F" w14:textId="77777777" w:rsidR="00782A07" w:rsidRDefault="00782A07" w:rsidP="00EF5ED4">
      <w:pPr>
        <w:spacing w:after="0" w:line="240" w:lineRule="auto"/>
      </w:pPr>
      <w:r>
        <w:separator/>
      </w:r>
    </w:p>
  </w:endnote>
  <w:endnote w:type="continuationSeparator" w:id="0">
    <w:p w14:paraId="22AAB2C1" w14:textId="77777777" w:rsidR="00782A07" w:rsidRDefault="00782A07" w:rsidP="00EF5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DA697" w14:textId="77777777" w:rsidR="00EC5A1B" w:rsidRDefault="00EC5A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F3EB4" w14:textId="5245D88F" w:rsidR="00EF5ED4" w:rsidRDefault="00EF5ED4">
    <w:pPr>
      <w:pStyle w:val="Footer"/>
    </w:pPr>
    <w:r>
      <w:rPr>
        <w:noProof/>
      </w:rPr>
      <w:drawing>
        <wp:anchor distT="0" distB="0" distL="114300" distR="114300" simplePos="0" relativeHeight="251661312" behindDoc="1" locked="1" layoutInCell="1" allowOverlap="1" wp14:anchorId="5C91CB40" wp14:editId="13A682C2">
          <wp:simplePos x="0" y="0"/>
          <wp:positionH relativeFrom="page">
            <wp:posOffset>9525</wp:posOffset>
          </wp:positionH>
          <wp:positionV relativeFrom="page">
            <wp:posOffset>9106535</wp:posOffset>
          </wp:positionV>
          <wp:extent cx="7772400" cy="9429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_letterhead.jpg"/>
                  <pic:cNvPicPr/>
                </pic:nvPicPr>
                <pic:blipFill rotWithShape="1">
                  <a:blip r:embed="rId1">
                    <a:extLst>
                      <a:ext uri="{28A0092B-C50C-407E-A947-70E740481C1C}">
                        <a14:useLocalDpi xmlns:a14="http://schemas.microsoft.com/office/drawing/2010/main" val="0"/>
                      </a:ext>
                    </a:extLst>
                  </a:blip>
                  <a:srcRect t="90625"/>
                  <a:stretch/>
                </pic:blipFill>
                <pic:spPr bwMode="auto">
                  <a:xfrm>
                    <a:off x="0" y="0"/>
                    <a:ext cx="777240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8A97B" w14:textId="7EA48029" w:rsidR="0087337C" w:rsidRDefault="00EC5A1B">
    <w:pPr>
      <w:pStyle w:val="Footer"/>
    </w:pPr>
    <w:r>
      <w:rPr>
        <w:noProof/>
      </w:rPr>
      <w:drawing>
        <wp:anchor distT="0" distB="0" distL="114300" distR="114300" simplePos="0" relativeHeight="251665408" behindDoc="1" locked="1" layoutInCell="1" allowOverlap="1" wp14:anchorId="07D5AA32" wp14:editId="2D111C89">
          <wp:simplePos x="0" y="0"/>
          <wp:positionH relativeFrom="page">
            <wp:posOffset>-9525</wp:posOffset>
          </wp:positionH>
          <wp:positionV relativeFrom="page">
            <wp:posOffset>9125585</wp:posOffset>
          </wp:positionV>
          <wp:extent cx="7772400" cy="942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_letterhead.jpg"/>
                  <pic:cNvPicPr/>
                </pic:nvPicPr>
                <pic:blipFill rotWithShape="1">
                  <a:blip r:embed="rId1">
                    <a:extLst>
                      <a:ext uri="{28A0092B-C50C-407E-A947-70E740481C1C}">
                        <a14:useLocalDpi xmlns:a14="http://schemas.microsoft.com/office/drawing/2010/main" val="0"/>
                      </a:ext>
                    </a:extLst>
                  </a:blip>
                  <a:srcRect t="90625"/>
                  <a:stretch/>
                </pic:blipFill>
                <pic:spPr bwMode="auto">
                  <a:xfrm>
                    <a:off x="0" y="0"/>
                    <a:ext cx="777240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B45CB" w14:textId="77777777" w:rsidR="00782A07" w:rsidRDefault="00782A07" w:rsidP="00EF5ED4">
      <w:pPr>
        <w:spacing w:after="0" w:line="240" w:lineRule="auto"/>
      </w:pPr>
      <w:r>
        <w:separator/>
      </w:r>
    </w:p>
  </w:footnote>
  <w:footnote w:type="continuationSeparator" w:id="0">
    <w:p w14:paraId="5EFF66D1" w14:textId="77777777" w:rsidR="00782A07" w:rsidRDefault="00782A07" w:rsidP="00EF5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29E14" w14:textId="77777777" w:rsidR="00EC5A1B" w:rsidRDefault="00EC5A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F020" w14:textId="77777777" w:rsidR="00EC5A1B" w:rsidRDefault="00EC5A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D9579" w14:textId="608FAF48" w:rsidR="00EC5A1B" w:rsidRDefault="00EC5A1B">
    <w:pPr>
      <w:pStyle w:val="Header"/>
    </w:pPr>
    <w:r>
      <w:rPr>
        <w:noProof/>
      </w:rPr>
      <w:drawing>
        <wp:anchor distT="0" distB="0" distL="114300" distR="114300" simplePos="0" relativeHeight="251667456" behindDoc="1" locked="1" layoutInCell="1" allowOverlap="1" wp14:anchorId="03445A11" wp14:editId="72DCFB28">
          <wp:simplePos x="0" y="0"/>
          <wp:positionH relativeFrom="page">
            <wp:posOffset>-9525</wp:posOffset>
          </wp:positionH>
          <wp:positionV relativeFrom="page">
            <wp:posOffset>9525</wp:posOffset>
          </wp:positionV>
          <wp:extent cx="7772400" cy="101917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_letterhead.jpg"/>
                  <pic:cNvPicPr/>
                </pic:nvPicPr>
                <pic:blipFill rotWithShape="1">
                  <a:blip r:embed="rId1">
                    <a:extLst>
                      <a:ext uri="{28A0092B-C50C-407E-A947-70E740481C1C}">
                        <a14:useLocalDpi xmlns:a14="http://schemas.microsoft.com/office/drawing/2010/main" val="0"/>
                      </a:ext>
                    </a:extLst>
                  </a:blip>
                  <a:srcRect b="89867"/>
                  <a:stretch/>
                </pic:blipFill>
                <pic:spPr bwMode="auto">
                  <a:xfrm>
                    <a:off x="0" y="0"/>
                    <a:ext cx="777240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F41B4"/>
    <w:multiLevelType w:val="hybridMultilevel"/>
    <w:tmpl w:val="FF60A5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621F54"/>
    <w:multiLevelType w:val="hybridMultilevel"/>
    <w:tmpl w:val="219A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17AF3"/>
    <w:multiLevelType w:val="hybridMultilevel"/>
    <w:tmpl w:val="259AF35E"/>
    <w:lvl w:ilvl="0" w:tplc="F850B5BA">
      <w:start w:val="1"/>
      <w:numFmt w:val="bullet"/>
      <w:lvlText w:val="•"/>
      <w:lvlJc w:val="left"/>
      <w:pPr>
        <w:tabs>
          <w:tab w:val="num" w:pos="720"/>
        </w:tabs>
        <w:ind w:left="720" w:hanging="360"/>
      </w:pPr>
      <w:rPr>
        <w:rFonts w:ascii="Arial" w:hAnsi="Arial" w:hint="default"/>
      </w:rPr>
    </w:lvl>
    <w:lvl w:ilvl="1" w:tplc="2C3A1228">
      <w:start w:val="1"/>
      <w:numFmt w:val="bullet"/>
      <w:lvlText w:val="•"/>
      <w:lvlJc w:val="left"/>
      <w:pPr>
        <w:tabs>
          <w:tab w:val="num" w:pos="1440"/>
        </w:tabs>
        <w:ind w:left="1440" w:hanging="360"/>
      </w:pPr>
      <w:rPr>
        <w:rFonts w:ascii="Arial" w:hAnsi="Arial" w:hint="default"/>
      </w:rPr>
    </w:lvl>
    <w:lvl w:ilvl="2" w:tplc="CC86F00E" w:tentative="1">
      <w:start w:val="1"/>
      <w:numFmt w:val="bullet"/>
      <w:lvlText w:val="•"/>
      <w:lvlJc w:val="left"/>
      <w:pPr>
        <w:tabs>
          <w:tab w:val="num" w:pos="2160"/>
        </w:tabs>
        <w:ind w:left="2160" w:hanging="360"/>
      </w:pPr>
      <w:rPr>
        <w:rFonts w:ascii="Arial" w:hAnsi="Arial" w:hint="default"/>
      </w:rPr>
    </w:lvl>
    <w:lvl w:ilvl="3" w:tplc="EED02562" w:tentative="1">
      <w:start w:val="1"/>
      <w:numFmt w:val="bullet"/>
      <w:lvlText w:val="•"/>
      <w:lvlJc w:val="left"/>
      <w:pPr>
        <w:tabs>
          <w:tab w:val="num" w:pos="2880"/>
        </w:tabs>
        <w:ind w:left="2880" w:hanging="360"/>
      </w:pPr>
      <w:rPr>
        <w:rFonts w:ascii="Arial" w:hAnsi="Arial" w:hint="default"/>
      </w:rPr>
    </w:lvl>
    <w:lvl w:ilvl="4" w:tplc="71123470" w:tentative="1">
      <w:start w:val="1"/>
      <w:numFmt w:val="bullet"/>
      <w:lvlText w:val="•"/>
      <w:lvlJc w:val="left"/>
      <w:pPr>
        <w:tabs>
          <w:tab w:val="num" w:pos="3600"/>
        </w:tabs>
        <w:ind w:left="3600" w:hanging="360"/>
      </w:pPr>
      <w:rPr>
        <w:rFonts w:ascii="Arial" w:hAnsi="Arial" w:hint="default"/>
      </w:rPr>
    </w:lvl>
    <w:lvl w:ilvl="5" w:tplc="068A2FA2" w:tentative="1">
      <w:start w:val="1"/>
      <w:numFmt w:val="bullet"/>
      <w:lvlText w:val="•"/>
      <w:lvlJc w:val="left"/>
      <w:pPr>
        <w:tabs>
          <w:tab w:val="num" w:pos="4320"/>
        </w:tabs>
        <w:ind w:left="4320" w:hanging="360"/>
      </w:pPr>
      <w:rPr>
        <w:rFonts w:ascii="Arial" w:hAnsi="Arial" w:hint="default"/>
      </w:rPr>
    </w:lvl>
    <w:lvl w:ilvl="6" w:tplc="E042012C" w:tentative="1">
      <w:start w:val="1"/>
      <w:numFmt w:val="bullet"/>
      <w:lvlText w:val="•"/>
      <w:lvlJc w:val="left"/>
      <w:pPr>
        <w:tabs>
          <w:tab w:val="num" w:pos="5040"/>
        </w:tabs>
        <w:ind w:left="5040" w:hanging="360"/>
      </w:pPr>
      <w:rPr>
        <w:rFonts w:ascii="Arial" w:hAnsi="Arial" w:hint="default"/>
      </w:rPr>
    </w:lvl>
    <w:lvl w:ilvl="7" w:tplc="3732E368" w:tentative="1">
      <w:start w:val="1"/>
      <w:numFmt w:val="bullet"/>
      <w:lvlText w:val="•"/>
      <w:lvlJc w:val="left"/>
      <w:pPr>
        <w:tabs>
          <w:tab w:val="num" w:pos="5760"/>
        </w:tabs>
        <w:ind w:left="5760" w:hanging="360"/>
      </w:pPr>
      <w:rPr>
        <w:rFonts w:ascii="Arial" w:hAnsi="Arial" w:hint="default"/>
      </w:rPr>
    </w:lvl>
    <w:lvl w:ilvl="8" w:tplc="87B495E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ED4"/>
    <w:rsid w:val="000F36B3"/>
    <w:rsid w:val="001023BB"/>
    <w:rsid w:val="00145A1A"/>
    <w:rsid w:val="0046646C"/>
    <w:rsid w:val="005E2C0D"/>
    <w:rsid w:val="00726D6F"/>
    <w:rsid w:val="00782A07"/>
    <w:rsid w:val="007E6E70"/>
    <w:rsid w:val="0087337C"/>
    <w:rsid w:val="009118BF"/>
    <w:rsid w:val="00917BCD"/>
    <w:rsid w:val="0093582E"/>
    <w:rsid w:val="00942CE1"/>
    <w:rsid w:val="009D27D7"/>
    <w:rsid w:val="009F3D65"/>
    <w:rsid w:val="00A47936"/>
    <w:rsid w:val="00AB78F2"/>
    <w:rsid w:val="00AF6985"/>
    <w:rsid w:val="00B66A0F"/>
    <w:rsid w:val="00BC6E5B"/>
    <w:rsid w:val="00C25DCC"/>
    <w:rsid w:val="00C3495F"/>
    <w:rsid w:val="00D816AE"/>
    <w:rsid w:val="00E10F17"/>
    <w:rsid w:val="00EC5A1B"/>
    <w:rsid w:val="00ED467B"/>
    <w:rsid w:val="00EF405F"/>
    <w:rsid w:val="00EF5ED4"/>
    <w:rsid w:val="00F649ED"/>
    <w:rsid w:val="00FB4BE4"/>
    <w:rsid w:val="00FB60B3"/>
    <w:rsid w:val="00FD3C79"/>
    <w:rsid w:val="00FD7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E2C04"/>
  <w15:chartTrackingRefBased/>
  <w15:docId w15:val="{F4000D9C-D295-4F3C-9198-03F72609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5ED4"/>
  </w:style>
  <w:style w:type="paragraph" w:styleId="Footer">
    <w:name w:val="footer"/>
    <w:basedOn w:val="Normal"/>
    <w:link w:val="FooterChar"/>
    <w:uiPriority w:val="99"/>
    <w:unhideWhenUsed/>
    <w:rsid w:val="00EF5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5ED4"/>
  </w:style>
  <w:style w:type="paragraph" w:styleId="ListParagraph">
    <w:name w:val="List Paragraph"/>
    <w:basedOn w:val="Normal"/>
    <w:uiPriority w:val="34"/>
    <w:qFormat/>
    <w:rsid w:val="00D816AE"/>
    <w:pPr>
      <w:ind w:left="720"/>
      <w:contextualSpacing/>
    </w:pPr>
  </w:style>
  <w:style w:type="table" w:styleId="TableGrid">
    <w:name w:val="Table Grid"/>
    <w:basedOn w:val="TableNormal"/>
    <w:uiPriority w:val="39"/>
    <w:rsid w:val="0093582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381322">
      <w:bodyDiv w:val="1"/>
      <w:marLeft w:val="0"/>
      <w:marRight w:val="0"/>
      <w:marTop w:val="0"/>
      <w:marBottom w:val="0"/>
      <w:divBdr>
        <w:top w:val="none" w:sz="0" w:space="0" w:color="auto"/>
        <w:left w:val="none" w:sz="0" w:space="0" w:color="auto"/>
        <w:bottom w:val="none" w:sz="0" w:space="0" w:color="auto"/>
        <w:right w:val="none" w:sz="0" w:space="0" w:color="auto"/>
      </w:divBdr>
      <w:divsChild>
        <w:div w:id="917638720">
          <w:marLeft w:val="1080"/>
          <w:marRight w:val="0"/>
          <w:marTop w:val="100"/>
          <w:marBottom w:val="0"/>
          <w:divBdr>
            <w:top w:val="none" w:sz="0" w:space="0" w:color="auto"/>
            <w:left w:val="none" w:sz="0" w:space="0" w:color="auto"/>
            <w:bottom w:val="none" w:sz="0" w:space="0" w:color="auto"/>
            <w:right w:val="none" w:sz="0" w:space="0" w:color="auto"/>
          </w:divBdr>
        </w:div>
        <w:div w:id="2109735359">
          <w:marLeft w:val="1080"/>
          <w:marRight w:val="0"/>
          <w:marTop w:val="100"/>
          <w:marBottom w:val="0"/>
          <w:divBdr>
            <w:top w:val="none" w:sz="0" w:space="0" w:color="auto"/>
            <w:left w:val="none" w:sz="0" w:space="0" w:color="auto"/>
            <w:bottom w:val="none" w:sz="0" w:space="0" w:color="auto"/>
            <w:right w:val="none" w:sz="0" w:space="0" w:color="auto"/>
          </w:divBdr>
        </w:div>
        <w:div w:id="1801995759">
          <w:marLeft w:val="1080"/>
          <w:marRight w:val="0"/>
          <w:marTop w:val="100"/>
          <w:marBottom w:val="0"/>
          <w:divBdr>
            <w:top w:val="none" w:sz="0" w:space="0" w:color="auto"/>
            <w:left w:val="none" w:sz="0" w:space="0" w:color="auto"/>
            <w:bottom w:val="none" w:sz="0" w:space="0" w:color="auto"/>
            <w:right w:val="none" w:sz="0" w:space="0" w:color="auto"/>
          </w:divBdr>
        </w:div>
        <w:div w:id="1758595691">
          <w:marLeft w:val="1080"/>
          <w:marRight w:val="0"/>
          <w:marTop w:val="100"/>
          <w:marBottom w:val="0"/>
          <w:divBdr>
            <w:top w:val="none" w:sz="0" w:space="0" w:color="auto"/>
            <w:left w:val="none" w:sz="0" w:space="0" w:color="auto"/>
            <w:bottom w:val="none" w:sz="0" w:space="0" w:color="auto"/>
            <w:right w:val="none" w:sz="0" w:space="0" w:color="auto"/>
          </w:divBdr>
        </w:div>
        <w:div w:id="386294716">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Synoground</dc:creator>
  <cp:keywords/>
  <dc:description/>
  <cp:lastModifiedBy>Herrman, Judith</cp:lastModifiedBy>
  <cp:revision>9</cp:revision>
  <cp:lastPrinted>2020-07-13T20:43:00Z</cp:lastPrinted>
  <dcterms:created xsi:type="dcterms:W3CDTF">2020-09-02T13:47:00Z</dcterms:created>
  <dcterms:modified xsi:type="dcterms:W3CDTF">2020-09-10T22:57:00Z</dcterms:modified>
</cp:coreProperties>
</file>